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1077" w:rsidRDefault="00160843">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0D1077" w:rsidRDefault="00160843">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1.012896</w:t>
      </w:r>
    </w:p>
    <w:p w:rsidR="000D1077" w:rsidRDefault="00160843">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891/QĐ-BXD</w:t>
      </w:r>
    </w:p>
    <w:p w:rsidR="000D1077" w:rsidRDefault="00160843">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Cho thuê, cho thuê mua nhà ở xã hội do Nhà nước đầu tư xây dựng bằng vốn đầu tư công</w:t>
      </w:r>
    </w:p>
    <w:p w:rsidR="000D1077" w:rsidRDefault="00160843">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0D1077" w:rsidRDefault="00160843">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0D1077" w:rsidRDefault="00160843">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Nhà ở và công sở</w:t>
      </w:r>
    </w:p>
    <w:p w:rsidR="000D1077" w:rsidRDefault="00160843">
      <w:pPr>
        <w:spacing w:after="0" w:line="276" w:lineRule="auto"/>
        <w:jc w:val="both"/>
      </w:pPr>
      <w:r>
        <w:rPr>
          <w:rFonts w:ascii="Times New Roman" w:eastAsia="Times New Roman" w:hAnsi="Times New Roman" w:cs="Times New Roman"/>
          <w:b/>
          <w:sz w:val="26"/>
        </w:rPr>
        <w:t xml:space="preserve">Trình tự thực hiện: </w:t>
      </w:r>
    </w:p>
    <w:p w:rsidR="000D1077" w:rsidRDefault="000D1077">
      <w:pPr>
        <w:shd w:val="clear" w:color="auto" w:fill="F2F6F9"/>
        <w:spacing w:before="120" w:after="0" w:line="276" w:lineRule="auto"/>
        <w:jc w:val="both"/>
      </w:pPr>
    </w:p>
    <w:p w:rsidR="000D1077" w:rsidRDefault="00160843">
      <w:pPr>
        <w:spacing w:after="0" w:line="276" w:lineRule="auto"/>
        <w:jc w:val="both"/>
      </w:pPr>
      <w:r>
        <w:rPr>
          <w:rFonts w:ascii="Times New Roman" w:eastAsia="Times New Roman" w:hAnsi="Times New Roman" w:cs="Times New Roman"/>
          <w:sz w:val="26"/>
        </w:rPr>
        <w:t>- Người có nhu cầu thuê, thuê mua nhà ở xã hội do Nhà nước đầu tư xây dựng bằng vốn đầu tư công nộp 01 bộ hồ sơ đến Trung tâm phục vụ hành chính công của UBND cấp tỉnh hoặc Bộ phận tiếp nhận và trả kết quả g</w:t>
      </w:r>
      <w:r>
        <w:rPr>
          <w:rFonts w:ascii="Times New Roman" w:eastAsia="Times New Roman" w:hAnsi="Times New Roman" w:cs="Times New Roman"/>
          <w:sz w:val="26"/>
        </w:rPr>
        <w:t>iải quyết TTHC</w:t>
      </w:r>
    </w:p>
    <w:p w:rsidR="000D1077" w:rsidRDefault="00160843">
      <w:pPr>
        <w:spacing w:after="0" w:line="276" w:lineRule="auto"/>
        <w:jc w:val="both"/>
      </w:pPr>
      <w:r>
        <w:rPr>
          <w:rFonts w:ascii="Times New Roman" w:eastAsia="Times New Roman" w:hAnsi="Times New Roman" w:cs="Times New Roman"/>
          <w:sz w:val="26"/>
        </w:rPr>
        <w:t>- Cơ quan tiếp nhận hồ sơ có trách nhiệm kiểm tra và phân loại hồ sơ; nếu hồ sơ không có đủ các giấy tờ theo quy định thì phải trả lời ngay để người nộp đơn bổ sung giấy tờ. Trường hợp đơn vị quản lý vận hành nhà ở tiếp nhận hồ sơ thì sau kh</w:t>
      </w:r>
      <w:r>
        <w:rPr>
          <w:rFonts w:ascii="Times New Roman" w:eastAsia="Times New Roman" w:hAnsi="Times New Roman" w:cs="Times New Roman"/>
          <w:sz w:val="26"/>
        </w:rPr>
        <w:t>i kiểm tra và phân loại hồ sơ, đơn vị này phải có báo cáo Danh sách người đủ điều kiện thuê nhà ở kèm theo hồ sơ hợp lệ gửi Sở Xây dựng xem xét, kiểm tra;</w:t>
      </w:r>
    </w:p>
    <w:p w:rsidR="000D1077" w:rsidRDefault="00160843">
      <w:pPr>
        <w:spacing w:after="0" w:line="276" w:lineRule="auto"/>
        <w:jc w:val="both"/>
      </w:pPr>
      <w:r>
        <w:rPr>
          <w:rFonts w:ascii="Times New Roman" w:eastAsia="Times New Roman" w:hAnsi="Times New Roman" w:cs="Times New Roman"/>
          <w:sz w:val="26"/>
        </w:rPr>
        <w:t>- Trên cơ sở Danh sách người đủ điều kiện thuê nhà ở kèm theo hồ sơ hợp lệ, thì Sở Xây dựng tổ chức l</w:t>
      </w:r>
      <w:r>
        <w:rPr>
          <w:rFonts w:ascii="Times New Roman" w:eastAsia="Times New Roman" w:hAnsi="Times New Roman" w:cs="Times New Roman"/>
          <w:sz w:val="26"/>
        </w:rPr>
        <w:t>ập Danh sách người được thuê nhà ở xã hội và có tờ trình kèm theo Danh sách báo cáo cơ quan đại diện chủ sở hữu quyết định.</w:t>
      </w:r>
    </w:p>
    <w:p w:rsidR="000D1077" w:rsidRDefault="00160843">
      <w:pPr>
        <w:spacing w:after="0" w:line="276" w:lineRule="auto"/>
        <w:jc w:val="both"/>
      </w:pPr>
      <w:r>
        <w:rPr>
          <w:rFonts w:ascii="Times New Roman" w:eastAsia="Times New Roman" w:hAnsi="Times New Roman" w:cs="Times New Roman"/>
          <w:sz w:val="26"/>
        </w:rPr>
        <w:t>Trường hợp tổng số hồ sơ đăng ký thuê (hợp lệ) bằng hoặc ít hơn tổng số căn nhà ở xã hội để cho thuê thì Danh sách người được thuê l</w:t>
      </w:r>
      <w:r>
        <w:rPr>
          <w:rFonts w:ascii="Times New Roman" w:eastAsia="Times New Roman" w:hAnsi="Times New Roman" w:cs="Times New Roman"/>
          <w:sz w:val="26"/>
        </w:rPr>
        <w:t>à Danh sách người đủ điều kiện thuê đã đăng ký.</w:t>
      </w:r>
    </w:p>
    <w:p w:rsidR="000D1077" w:rsidRDefault="00160843">
      <w:pPr>
        <w:spacing w:after="0" w:line="276" w:lineRule="auto"/>
        <w:jc w:val="both"/>
      </w:pPr>
      <w:r>
        <w:rPr>
          <w:rFonts w:ascii="Times New Roman" w:eastAsia="Times New Roman" w:hAnsi="Times New Roman" w:cs="Times New Roman"/>
          <w:sz w:val="26"/>
        </w:rPr>
        <w:t xml:space="preserve">Trường hợp tổng số hồ sơ đăng ký thuê (hợp lệ) nhiều hơn tổng số căn nhà ở xã hội để cho thuê thì việc xét duyệt, lựa chọn đối tượng được thuê thực hiện theo hình thức bốc thăm (trực tiếp hoặc trực tuyến) do </w:t>
      </w:r>
      <w:r>
        <w:rPr>
          <w:rFonts w:ascii="Times New Roman" w:eastAsia="Times New Roman" w:hAnsi="Times New Roman" w:cs="Times New Roman"/>
          <w:sz w:val="26"/>
        </w:rPr>
        <w:t>Sở Xây dựng hoặc đơn vị quản lý vận hành nhà ở theo phân cấp của địa phương tổ chức việc bốc thăm, trường hợp đơn vị quản lý vận hành nhà ở thực hiện thì Sở Xây dựng giám sát bốc thăm. Việc bốc thăm phải có biên bản kết quả bốc thăm.</w:t>
      </w:r>
    </w:p>
    <w:p w:rsidR="000D1077" w:rsidRDefault="00160843">
      <w:pPr>
        <w:spacing w:after="0" w:line="276" w:lineRule="auto"/>
        <w:jc w:val="both"/>
      </w:pPr>
      <w:r>
        <w:rPr>
          <w:rFonts w:ascii="Times New Roman" w:eastAsia="Times New Roman" w:hAnsi="Times New Roman" w:cs="Times New Roman"/>
          <w:sz w:val="26"/>
        </w:rPr>
        <w:t>Trường hợp dự án có đố</w:t>
      </w:r>
      <w:r>
        <w:rPr>
          <w:rFonts w:ascii="Times New Roman" w:eastAsia="Times New Roman" w:hAnsi="Times New Roman" w:cs="Times New Roman"/>
          <w:sz w:val="26"/>
        </w:rPr>
        <w:t>i tượng ưu tiên theo quy định tại điểm đ khoản 1 Điều 79 của Luật Nhà ở thì được thuê nhà ở xã hội mà không phải bốc thăm với tỷ lệ nhất định. Số lượng căn nhà ở xã hội để cho thuê dành cho các đối tượng ưu tiên này (không thông qua bốc thăm) được xác định</w:t>
      </w:r>
      <w:r>
        <w:rPr>
          <w:rFonts w:ascii="Times New Roman" w:eastAsia="Times New Roman" w:hAnsi="Times New Roman" w:cs="Times New Roman"/>
          <w:sz w:val="26"/>
        </w:rPr>
        <w:t xml:space="preserve"> bằng tỷ lệ giữa tổng số hồ sơ của 05 nhóm đối tượng ưu tiên này trên tổng số hồ sơ đăng ký nhân với tổng số căn nhà ở xã hội để cho thuê. Danh sách của nhóm đối tượng ưu tiên được sắp xếp theo thứ tự theo thời điểm nộp hồ sơ. Các căn nhà ở xã hội để cho t</w:t>
      </w:r>
      <w:r>
        <w:rPr>
          <w:rFonts w:ascii="Times New Roman" w:eastAsia="Times New Roman" w:hAnsi="Times New Roman" w:cs="Times New Roman"/>
          <w:sz w:val="26"/>
        </w:rPr>
        <w:t>huê dành cho các đối tượng ưu tiên được bố trí theo thứ tự của Danh sách ưu tiên cho đến khi hết, các đối tượng còn lại được tiếp tục tham gia bốc thăm</w:t>
      </w:r>
    </w:p>
    <w:p w:rsidR="000D1077" w:rsidRDefault="00160843">
      <w:pPr>
        <w:spacing w:after="0" w:line="276" w:lineRule="auto"/>
        <w:jc w:val="both"/>
      </w:pPr>
      <w:r>
        <w:rPr>
          <w:rFonts w:ascii="Times New Roman" w:eastAsia="Times New Roman" w:hAnsi="Times New Roman" w:cs="Times New Roman"/>
          <w:sz w:val="26"/>
        </w:rPr>
        <w:lastRenderedPageBreak/>
        <w:t>- Trên cơ sở báo cáo của Sở Xây dựng, cơ quan đại diện chủ sở hữu nhà ở xem xét, ban hành quyết định phê</w:t>
      </w:r>
      <w:r>
        <w:rPr>
          <w:rFonts w:ascii="Times New Roman" w:eastAsia="Times New Roman" w:hAnsi="Times New Roman" w:cs="Times New Roman"/>
          <w:sz w:val="26"/>
        </w:rPr>
        <w:t xml:space="preserve"> duyệt Danh sách người được thuê nhà ở và gửi cho đơn vị quản lý vận hành nhà ở để ký Hợp đồng thuê nhà với người được thuê nhà ở;</w:t>
      </w:r>
    </w:p>
    <w:p w:rsidR="000D1077" w:rsidRDefault="00160843">
      <w:pPr>
        <w:spacing w:after="0" w:line="276" w:lineRule="auto"/>
        <w:jc w:val="both"/>
      </w:pPr>
      <w:r>
        <w:rPr>
          <w:rFonts w:ascii="Times New Roman" w:eastAsia="Times New Roman" w:hAnsi="Times New Roman" w:cs="Times New Roman"/>
          <w:sz w:val="26"/>
        </w:rPr>
        <w:t>- Thời gian giải quyết việc cho thuê nhà ở xã hội là không quá 30 ngày, kể từ ngày đơn vị tiếp nhận hồ sơ nhận đủ hồ sơ hợp l</w:t>
      </w:r>
      <w:r>
        <w:rPr>
          <w:rFonts w:ascii="Times New Roman" w:eastAsia="Times New Roman" w:hAnsi="Times New Roman" w:cs="Times New Roman"/>
          <w:sz w:val="26"/>
        </w:rPr>
        <w:t>ệ.</w:t>
      </w:r>
    </w:p>
    <w:p w:rsidR="000D1077" w:rsidRDefault="00160843">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11"/>
        <w:gridCol w:w="1353"/>
        <w:gridCol w:w="2222"/>
        <w:gridCol w:w="4525"/>
      </w:tblGrid>
      <w:tr w:rsidR="000D1077">
        <w:tblPrEx>
          <w:tblCellMar>
            <w:top w:w="0" w:type="dxa"/>
            <w:bottom w:w="0" w:type="dxa"/>
          </w:tblCellMar>
        </w:tblPrEx>
        <w:tc>
          <w:tcPr>
            <w:tcW w:w="1500" w:type="dxa"/>
          </w:tcPr>
          <w:p w:rsidR="000D1077" w:rsidRDefault="000D1077"/>
          <w:p w:rsidR="000D1077" w:rsidRDefault="00160843">
            <w:pPr>
              <w:spacing w:after="0" w:line="276" w:lineRule="auto"/>
              <w:jc w:val="center"/>
            </w:pPr>
            <w:r>
              <w:rPr>
                <w:rFonts w:ascii="Times New Roman" w:eastAsia="Times New Roman" w:hAnsi="Times New Roman" w:cs="Times New Roman"/>
                <w:b/>
                <w:sz w:val="26"/>
              </w:rPr>
              <w:t>Hình thức nộp</w:t>
            </w:r>
          </w:p>
        </w:tc>
        <w:tc>
          <w:tcPr>
            <w:tcW w:w="2000" w:type="dxa"/>
          </w:tcPr>
          <w:p w:rsidR="000D1077" w:rsidRDefault="000D1077"/>
          <w:p w:rsidR="000D1077" w:rsidRDefault="00160843">
            <w:pPr>
              <w:spacing w:after="0" w:line="276" w:lineRule="auto"/>
              <w:jc w:val="center"/>
            </w:pPr>
            <w:r>
              <w:rPr>
                <w:rFonts w:ascii="Times New Roman" w:eastAsia="Times New Roman" w:hAnsi="Times New Roman" w:cs="Times New Roman"/>
                <w:b/>
                <w:sz w:val="26"/>
              </w:rPr>
              <w:t>Thời hạn giải quyết</w:t>
            </w:r>
          </w:p>
        </w:tc>
        <w:tc>
          <w:tcPr>
            <w:tcW w:w="3500" w:type="dxa"/>
          </w:tcPr>
          <w:p w:rsidR="000D1077" w:rsidRDefault="000D1077"/>
          <w:p w:rsidR="000D1077" w:rsidRDefault="00160843">
            <w:pPr>
              <w:spacing w:after="0" w:line="276" w:lineRule="auto"/>
              <w:jc w:val="center"/>
            </w:pPr>
            <w:r>
              <w:rPr>
                <w:rFonts w:ascii="Times New Roman" w:eastAsia="Times New Roman" w:hAnsi="Times New Roman" w:cs="Times New Roman"/>
                <w:b/>
                <w:sz w:val="26"/>
              </w:rPr>
              <w:t>Phí, lệ phí</w:t>
            </w:r>
          </w:p>
        </w:tc>
        <w:tc>
          <w:tcPr>
            <w:tcW w:w="3000" w:type="dxa"/>
          </w:tcPr>
          <w:p w:rsidR="000D1077" w:rsidRDefault="000D1077"/>
          <w:p w:rsidR="000D1077" w:rsidRDefault="00160843">
            <w:pPr>
              <w:spacing w:after="0" w:line="276" w:lineRule="auto"/>
              <w:jc w:val="center"/>
            </w:pPr>
            <w:r>
              <w:rPr>
                <w:rFonts w:ascii="Times New Roman" w:eastAsia="Times New Roman" w:hAnsi="Times New Roman" w:cs="Times New Roman"/>
                <w:b/>
                <w:sz w:val="26"/>
              </w:rPr>
              <w:t>Mô tả</w:t>
            </w:r>
          </w:p>
        </w:tc>
      </w:tr>
      <w:tr w:rsidR="000D1077">
        <w:tblPrEx>
          <w:tblCellMar>
            <w:top w:w="0" w:type="dxa"/>
            <w:bottom w:w="0" w:type="dxa"/>
          </w:tblCellMar>
        </w:tblPrEx>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Trực tiếp</w:t>
            </w:r>
          </w:p>
        </w:tc>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30 Ngày</w:t>
            </w:r>
          </w:p>
        </w:tc>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Phí : 0 Đồng (Không quy định.)</w:t>
            </w:r>
          </w:p>
        </w:tc>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Không quá 30 ngày, kể từ ngày đơn vị tiếp nhận hồ sơ nhận đủ hồ sơ hợp lệ.</w:t>
            </w:r>
          </w:p>
        </w:tc>
      </w:tr>
      <w:tr w:rsidR="000D1077">
        <w:tblPrEx>
          <w:tblCellMar>
            <w:top w:w="0" w:type="dxa"/>
            <w:bottom w:w="0" w:type="dxa"/>
          </w:tblCellMar>
        </w:tblPrEx>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Trực tuyến</w:t>
            </w:r>
          </w:p>
        </w:tc>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30 Ngày</w:t>
            </w:r>
          </w:p>
        </w:tc>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Phí : 0 Đồng</w:t>
            </w:r>
            <w:r>
              <w:rPr>
                <w:rFonts w:ascii="Times New Roman" w:eastAsia="Times New Roman" w:hAnsi="Times New Roman" w:cs="Times New Roman"/>
                <w:sz w:val="26"/>
              </w:rPr>
              <w:t xml:space="preserve"> (Không quy định.)</w:t>
            </w:r>
          </w:p>
        </w:tc>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Không quá 30 ngày, kể từ ngày đơn vị tiếp nhận hồ sơ nhận đủ hồ sơ hợp lệ.</w:t>
            </w:r>
          </w:p>
        </w:tc>
      </w:tr>
      <w:tr w:rsidR="000D1077">
        <w:tblPrEx>
          <w:tblCellMar>
            <w:top w:w="0" w:type="dxa"/>
            <w:bottom w:w="0" w:type="dxa"/>
          </w:tblCellMar>
        </w:tblPrEx>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Dịch vụ bưu chính</w:t>
            </w:r>
          </w:p>
        </w:tc>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35 Ngày</w:t>
            </w:r>
          </w:p>
        </w:tc>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Phí : 0 Đồng (Không quy định.)</w:t>
            </w:r>
          </w:p>
        </w:tc>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Không quá 30 ngày, kể từ ngày đơn vị tiếp nhận hồ sơ nhận đủ hồ sơ hợp lệ.</w:t>
            </w:r>
          </w:p>
        </w:tc>
      </w:tr>
    </w:tbl>
    <w:p w:rsidR="000D1077" w:rsidRDefault="00160843">
      <w:pPr>
        <w:spacing w:before="240" w:after="0" w:line="276" w:lineRule="auto"/>
        <w:jc w:val="both"/>
      </w:pPr>
      <w:r>
        <w:rPr>
          <w:rFonts w:ascii="Times New Roman" w:eastAsia="Times New Roman" w:hAnsi="Times New Roman" w:cs="Times New Roman"/>
          <w:b/>
          <w:sz w:val="26"/>
        </w:rPr>
        <w:t xml:space="preserve">Thành phần hồ sơ: </w:t>
      </w:r>
    </w:p>
    <w:p w:rsidR="000D1077" w:rsidRDefault="00160843">
      <w:pPr>
        <w:shd w:val="clear" w:color="auto" w:fill="F2F6F9"/>
        <w:spacing w:before="120" w:after="0" w:line="276" w:lineRule="auto"/>
        <w:jc w:val="both"/>
      </w:pPr>
      <w:r>
        <w:rPr>
          <w:rFonts w:ascii="Times New Roman" w:eastAsia="Times New Roman" w:hAnsi="Times New Roman" w:cs="Times New Roman"/>
          <w:b/>
          <w:sz w:val="26"/>
        </w:rPr>
        <w:t xml:space="preserve">Bao </w:t>
      </w:r>
      <w:r>
        <w:rPr>
          <w:rFonts w:ascii="Times New Roman" w:eastAsia="Times New Roman" w:hAnsi="Times New Roman" w:cs="Times New Roman"/>
          <w:b/>
          <w:sz w:val="26"/>
        </w:rPr>
        <w:t>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456"/>
        <w:gridCol w:w="1943"/>
        <w:gridCol w:w="1012"/>
      </w:tblGrid>
      <w:tr w:rsidR="000D1077">
        <w:tblPrEx>
          <w:tblCellMar>
            <w:top w:w="0" w:type="dxa"/>
            <w:bottom w:w="0" w:type="dxa"/>
          </w:tblCellMar>
        </w:tblPrEx>
        <w:tc>
          <w:tcPr>
            <w:tcW w:w="6000" w:type="dxa"/>
          </w:tcPr>
          <w:p w:rsidR="000D1077" w:rsidRDefault="000D1077"/>
          <w:p w:rsidR="000D1077" w:rsidRDefault="00160843">
            <w:pPr>
              <w:spacing w:after="0" w:line="276" w:lineRule="auto"/>
              <w:jc w:val="center"/>
            </w:pPr>
            <w:r>
              <w:rPr>
                <w:rFonts w:ascii="Times New Roman" w:eastAsia="Times New Roman" w:hAnsi="Times New Roman" w:cs="Times New Roman"/>
                <w:b/>
                <w:sz w:val="26"/>
              </w:rPr>
              <w:t>Tên giấy tờ</w:t>
            </w:r>
          </w:p>
        </w:tc>
        <w:tc>
          <w:tcPr>
            <w:tcW w:w="2000" w:type="dxa"/>
          </w:tcPr>
          <w:p w:rsidR="000D1077" w:rsidRDefault="000D1077"/>
          <w:p w:rsidR="000D1077" w:rsidRDefault="00160843">
            <w:pPr>
              <w:spacing w:after="0" w:line="276" w:lineRule="auto"/>
              <w:jc w:val="center"/>
            </w:pPr>
            <w:r>
              <w:rPr>
                <w:rFonts w:ascii="Times New Roman" w:eastAsia="Times New Roman" w:hAnsi="Times New Roman" w:cs="Times New Roman"/>
                <w:b/>
                <w:sz w:val="26"/>
              </w:rPr>
              <w:t>Mẫu đơn, tờ khai</w:t>
            </w:r>
          </w:p>
        </w:tc>
        <w:tc>
          <w:tcPr>
            <w:tcW w:w="2000" w:type="dxa"/>
          </w:tcPr>
          <w:p w:rsidR="000D1077" w:rsidRDefault="000D1077"/>
          <w:p w:rsidR="000D1077" w:rsidRDefault="00160843">
            <w:pPr>
              <w:spacing w:after="0" w:line="276" w:lineRule="auto"/>
              <w:jc w:val="center"/>
            </w:pPr>
            <w:r>
              <w:rPr>
                <w:rFonts w:ascii="Times New Roman" w:eastAsia="Times New Roman" w:hAnsi="Times New Roman" w:cs="Times New Roman"/>
                <w:b/>
                <w:sz w:val="26"/>
              </w:rPr>
              <w:t>Số lượng</w:t>
            </w:r>
          </w:p>
        </w:tc>
      </w:tr>
      <w:tr w:rsidR="000D1077">
        <w:tblPrEx>
          <w:tblCellMar>
            <w:top w:w="0" w:type="dxa"/>
            <w:bottom w:w="0" w:type="dxa"/>
          </w:tblCellMar>
        </w:tblPrEx>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Hồ sơ gồm bản sao và xuất trình bản chính để đối chiếu hoặc bản sao được chứng thực hoặc bản sao điện tử có giá trị pháp lý các giấy tờ sau:</w:t>
            </w:r>
          </w:p>
        </w:tc>
        <w:tc>
          <w:tcPr>
            <w:tcW w:w="0" w:type="auto"/>
          </w:tcPr>
          <w:p w:rsidR="000D1077" w:rsidRDefault="000D1077"/>
        </w:tc>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0D1077">
        <w:tblPrEx>
          <w:tblCellMar>
            <w:top w:w="0" w:type="dxa"/>
            <w:bottom w:w="0" w:type="dxa"/>
          </w:tblCellMar>
        </w:tblPrEx>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 Trường hợp thuê nhà ở xã hội:</w:t>
            </w:r>
          </w:p>
        </w:tc>
        <w:tc>
          <w:tcPr>
            <w:tcW w:w="0" w:type="auto"/>
          </w:tcPr>
          <w:p w:rsidR="000D1077" w:rsidRDefault="000D1077"/>
        </w:tc>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0D1077">
        <w:tblPrEx>
          <w:tblCellMar>
            <w:top w:w="0" w:type="dxa"/>
            <w:bottom w:w="0" w:type="dxa"/>
          </w:tblCellMar>
        </w:tblPrEx>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 Đơn đăng ký thuê nhà ở xã hội theo mẫu;</w:t>
            </w:r>
          </w:p>
        </w:tc>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 xml:space="preserve">Đơn đăng ký </w:t>
            </w:r>
            <w:r>
              <w:rPr>
                <w:rFonts w:ascii="Times New Roman" w:eastAsia="Times New Roman" w:hAnsi="Times New Roman" w:cs="Times New Roman"/>
                <w:sz w:val="26"/>
              </w:rPr>
              <w:lastRenderedPageBreak/>
              <w:t>thue, thue mua nha o xã hoi.docx</w:t>
            </w:r>
          </w:p>
        </w:tc>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 xml:space="preserve">Bản </w:t>
            </w:r>
            <w:r>
              <w:rPr>
                <w:rFonts w:ascii="Times New Roman" w:eastAsia="Times New Roman" w:hAnsi="Times New Roman" w:cs="Times New Roman"/>
                <w:sz w:val="26"/>
              </w:rPr>
              <w:lastRenderedPageBreak/>
              <w:t>chính: 1</w:t>
            </w:r>
            <w:r>
              <w:rPr>
                <w:rFonts w:ascii="Times New Roman" w:eastAsia="Times New Roman" w:hAnsi="Times New Roman" w:cs="Times New Roman"/>
                <w:sz w:val="26"/>
              </w:rPr>
              <w:br/>
              <w:t>Bản sao: 1</w:t>
            </w:r>
          </w:p>
        </w:tc>
      </w:tr>
      <w:tr w:rsidR="000D1077">
        <w:tblPrEx>
          <w:tblCellMar>
            <w:top w:w="0" w:type="dxa"/>
            <w:bottom w:w="0" w:type="dxa"/>
          </w:tblCellMar>
        </w:tblPrEx>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 Giấy tờ chứng minh đối tượng theo hướng dẫn của Bộ trưởng Bộ Xây dựng, Bộ trưởng Bộ Quốc phòng, Bộ trưởng Bộ Công</w:t>
            </w:r>
            <w:r>
              <w:rPr>
                <w:rFonts w:ascii="Times New Roman" w:eastAsia="Times New Roman" w:hAnsi="Times New Roman" w:cs="Times New Roman"/>
                <w:sz w:val="26"/>
              </w:rPr>
              <w:t xml:space="preserve"> an và giấy tờ chứng minh thuộc đối tượng được miễn, giảm tiền thuê nhà ở xã hội (nếu có).</w:t>
            </w:r>
          </w:p>
        </w:tc>
        <w:tc>
          <w:tcPr>
            <w:tcW w:w="0" w:type="auto"/>
          </w:tcPr>
          <w:p w:rsidR="000D1077" w:rsidRDefault="000D1077"/>
        </w:tc>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0D1077">
        <w:tblPrEx>
          <w:tblCellMar>
            <w:top w:w="0" w:type="dxa"/>
            <w:bottom w:w="0" w:type="dxa"/>
          </w:tblCellMar>
        </w:tblPrEx>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 Trường hợp thuê mua nhà ở xã hội:</w:t>
            </w:r>
          </w:p>
        </w:tc>
        <w:tc>
          <w:tcPr>
            <w:tcW w:w="0" w:type="auto"/>
          </w:tcPr>
          <w:p w:rsidR="000D1077" w:rsidRDefault="000D1077"/>
        </w:tc>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0D1077">
        <w:tblPrEx>
          <w:tblCellMar>
            <w:top w:w="0" w:type="dxa"/>
            <w:bottom w:w="0" w:type="dxa"/>
          </w:tblCellMar>
        </w:tblPrEx>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 Đơn đăng ký thuê mua nhà ở xã hội theo mẫu;</w:t>
            </w:r>
          </w:p>
        </w:tc>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Đơn đăng ký thue, thue mua</w:t>
            </w:r>
            <w:r>
              <w:rPr>
                <w:rFonts w:ascii="Times New Roman" w:eastAsia="Times New Roman" w:hAnsi="Times New Roman" w:cs="Times New Roman"/>
                <w:sz w:val="26"/>
              </w:rPr>
              <w:t xml:space="preserve"> nha o xã hoi.docx</w:t>
            </w:r>
          </w:p>
        </w:tc>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0D1077">
        <w:tblPrEx>
          <w:tblCellMar>
            <w:top w:w="0" w:type="dxa"/>
            <w:bottom w:w="0" w:type="dxa"/>
          </w:tblCellMar>
        </w:tblPrEx>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 Giấy tờ chứng minh đối tượng theo hướng dẫn của Bộ trưởng Bộ Xây dựng, Bộ trưởng Bộ Quốc phòng, Bộ trưởng Bộ Công an.</w:t>
            </w:r>
          </w:p>
        </w:tc>
        <w:tc>
          <w:tcPr>
            <w:tcW w:w="0" w:type="auto"/>
          </w:tcPr>
          <w:p w:rsidR="000D1077" w:rsidRDefault="000D1077"/>
        </w:tc>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0D1077">
        <w:tblPrEx>
          <w:tblCellMar>
            <w:top w:w="0" w:type="dxa"/>
            <w:bottom w:w="0" w:type="dxa"/>
          </w:tblCellMar>
        </w:tblPrEx>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 Giấy tờ chứng minh điều kiện được hưởng chính sách hỗ trợ về</w:t>
            </w:r>
            <w:r>
              <w:rPr>
                <w:rFonts w:ascii="Times New Roman" w:eastAsia="Times New Roman" w:hAnsi="Times New Roman" w:cs="Times New Roman"/>
                <w:sz w:val="26"/>
              </w:rPr>
              <w:t xml:space="preserve"> nhà ở xã hội theo quy định.</w:t>
            </w:r>
          </w:p>
        </w:tc>
        <w:tc>
          <w:tcPr>
            <w:tcW w:w="0" w:type="auto"/>
          </w:tcPr>
          <w:p w:rsidR="000D1077" w:rsidRDefault="000D1077"/>
        </w:tc>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0D1077" w:rsidRDefault="00160843">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Cán bộ, công chức, viên chức</w:t>
      </w:r>
    </w:p>
    <w:p w:rsidR="000D1077" w:rsidRDefault="00160843">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 Đơn vị quản lý vận hành nhà ở</w:t>
      </w:r>
    </w:p>
    <w:p w:rsidR="000D1077" w:rsidRDefault="00160843">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cấp tỉnh</w:t>
      </w:r>
    </w:p>
    <w:p w:rsidR="000D1077" w:rsidRDefault="00160843">
      <w:pPr>
        <w:spacing w:after="0" w:line="276" w:lineRule="auto"/>
        <w:jc w:val="both"/>
      </w:pPr>
      <w:r>
        <w:rPr>
          <w:rFonts w:ascii="Times New Roman" w:eastAsia="Times New Roman" w:hAnsi="Times New Roman" w:cs="Times New Roman"/>
          <w:b/>
          <w:sz w:val="26"/>
        </w:rPr>
        <w:t>Địa chỉ tiếp nhận HS:</w:t>
      </w:r>
      <w:r>
        <w:rPr>
          <w:rFonts w:ascii="Times New Roman" w:eastAsia="Times New Roman" w:hAnsi="Times New Roman" w:cs="Times New Roman"/>
          <w:b/>
          <w:sz w:val="26"/>
        </w:rPr>
        <w:t xml:space="preserve"> </w:t>
      </w:r>
      <w:r>
        <w:rPr>
          <w:rFonts w:ascii="Times New Roman" w:eastAsia="Times New Roman" w:hAnsi="Times New Roman" w:cs="Times New Roman"/>
          <w:sz w:val="26"/>
        </w:rPr>
        <w:t>Trung tâm phục vụ hành chính công của UBND cấp tỉnh hoặc Bộ phận tiếp nhận và trả kết quả giải quyết TTHC</w:t>
      </w:r>
    </w:p>
    <w:p w:rsidR="000D1077" w:rsidRDefault="00160843">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0D1077" w:rsidRDefault="00160843">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0D1077" w:rsidRDefault="00160843">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Hợp đồng thuê, thuê mua nhà ở xã hội do Nhà nước đầ</w:t>
      </w:r>
      <w:r>
        <w:rPr>
          <w:rFonts w:ascii="Times New Roman" w:eastAsia="Times New Roman" w:hAnsi="Times New Roman" w:cs="Times New Roman"/>
          <w:sz w:val="26"/>
        </w:rPr>
        <w:t>u tư xây dựng bằng vốn đầu tư công.</w:t>
      </w:r>
    </w:p>
    <w:p w:rsidR="000D1077" w:rsidRDefault="00160843">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0D1077">
        <w:tblPrEx>
          <w:tblCellMar>
            <w:top w:w="0" w:type="dxa"/>
            <w:bottom w:w="0" w:type="dxa"/>
          </w:tblCellMar>
        </w:tblPrEx>
        <w:tc>
          <w:tcPr>
            <w:tcW w:w="2000" w:type="dxa"/>
          </w:tcPr>
          <w:p w:rsidR="000D1077" w:rsidRDefault="000D1077"/>
          <w:p w:rsidR="000D1077" w:rsidRDefault="00160843">
            <w:pPr>
              <w:spacing w:after="0" w:line="276" w:lineRule="auto"/>
              <w:jc w:val="center"/>
            </w:pPr>
            <w:r>
              <w:rPr>
                <w:rFonts w:ascii="Times New Roman" w:eastAsia="Times New Roman" w:hAnsi="Times New Roman" w:cs="Times New Roman"/>
                <w:b/>
                <w:sz w:val="26"/>
              </w:rPr>
              <w:t>Số ký hiệu</w:t>
            </w:r>
          </w:p>
        </w:tc>
        <w:tc>
          <w:tcPr>
            <w:tcW w:w="3500" w:type="dxa"/>
          </w:tcPr>
          <w:p w:rsidR="000D1077" w:rsidRDefault="000D1077"/>
          <w:p w:rsidR="000D1077" w:rsidRDefault="00160843">
            <w:pPr>
              <w:spacing w:after="0" w:line="276" w:lineRule="auto"/>
              <w:jc w:val="center"/>
            </w:pPr>
            <w:r>
              <w:rPr>
                <w:rFonts w:ascii="Times New Roman" w:eastAsia="Times New Roman" w:hAnsi="Times New Roman" w:cs="Times New Roman"/>
                <w:b/>
                <w:sz w:val="26"/>
              </w:rPr>
              <w:t>Trích yếu</w:t>
            </w:r>
          </w:p>
        </w:tc>
        <w:tc>
          <w:tcPr>
            <w:tcW w:w="1500" w:type="dxa"/>
          </w:tcPr>
          <w:p w:rsidR="000D1077" w:rsidRDefault="000D1077"/>
          <w:p w:rsidR="000D1077" w:rsidRDefault="00160843">
            <w:pPr>
              <w:spacing w:after="0" w:line="276" w:lineRule="auto"/>
              <w:jc w:val="center"/>
            </w:pPr>
            <w:r>
              <w:rPr>
                <w:rFonts w:ascii="Times New Roman" w:eastAsia="Times New Roman" w:hAnsi="Times New Roman" w:cs="Times New Roman"/>
                <w:b/>
                <w:sz w:val="26"/>
              </w:rPr>
              <w:t>Ngày ban hành</w:t>
            </w:r>
          </w:p>
        </w:tc>
        <w:tc>
          <w:tcPr>
            <w:tcW w:w="3000" w:type="dxa"/>
          </w:tcPr>
          <w:p w:rsidR="000D1077" w:rsidRDefault="000D1077"/>
          <w:p w:rsidR="000D1077" w:rsidRDefault="00160843">
            <w:pPr>
              <w:spacing w:after="0" w:line="276" w:lineRule="auto"/>
              <w:jc w:val="center"/>
            </w:pPr>
            <w:r>
              <w:rPr>
                <w:rFonts w:ascii="Times New Roman" w:eastAsia="Times New Roman" w:hAnsi="Times New Roman" w:cs="Times New Roman"/>
                <w:b/>
                <w:sz w:val="26"/>
              </w:rPr>
              <w:t>Cơ quan ban hành</w:t>
            </w:r>
          </w:p>
        </w:tc>
      </w:tr>
      <w:tr w:rsidR="000D1077">
        <w:tblPrEx>
          <w:tblCellMar>
            <w:top w:w="0" w:type="dxa"/>
            <w:bottom w:w="0" w:type="dxa"/>
          </w:tblCellMar>
        </w:tblPrEx>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27/2023/QH15</w:t>
            </w:r>
          </w:p>
        </w:tc>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Luật Nhà ở số 27/2023/QH15</w:t>
            </w:r>
          </w:p>
        </w:tc>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27-11-2023</w:t>
            </w:r>
          </w:p>
        </w:tc>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Quốc Hội</w:t>
            </w:r>
          </w:p>
        </w:tc>
      </w:tr>
      <w:tr w:rsidR="000D1077">
        <w:tblPrEx>
          <w:tblCellMar>
            <w:top w:w="0" w:type="dxa"/>
            <w:bottom w:w="0" w:type="dxa"/>
          </w:tblCellMar>
        </w:tblPrEx>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100/2024/NĐ-CP</w:t>
            </w:r>
          </w:p>
        </w:tc>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 xml:space="preserve">Nghị định số 100/2024/NĐ-CP ngày 26 tháng 7 năm 2024 của Chính </w:t>
            </w:r>
            <w:r>
              <w:rPr>
                <w:rFonts w:ascii="Times New Roman" w:eastAsia="Times New Roman" w:hAnsi="Times New Roman" w:cs="Times New Roman"/>
                <w:sz w:val="26"/>
              </w:rPr>
              <w:t>phủ quy định chi tiết một số điều của Luật Nhà ở về phát triển và quản lý nhà ở xã hội</w:t>
            </w:r>
          </w:p>
        </w:tc>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26-07-2024</w:t>
            </w:r>
          </w:p>
        </w:tc>
        <w:tc>
          <w:tcPr>
            <w:tcW w:w="0" w:type="auto"/>
          </w:tcPr>
          <w:p w:rsidR="000D1077" w:rsidRDefault="000D1077"/>
          <w:p w:rsidR="000D1077" w:rsidRDefault="00160843">
            <w:pPr>
              <w:spacing w:after="0" w:line="276" w:lineRule="auto"/>
            </w:pPr>
            <w:r>
              <w:rPr>
                <w:rFonts w:ascii="Times New Roman" w:eastAsia="Times New Roman" w:hAnsi="Times New Roman" w:cs="Times New Roman"/>
                <w:sz w:val="26"/>
              </w:rPr>
              <w:t>Chính phủ</w:t>
            </w:r>
          </w:p>
        </w:tc>
      </w:tr>
    </w:tbl>
    <w:p w:rsidR="000D1077" w:rsidRDefault="00160843">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Đối tượng thuê, thuê mua nhà ở xã hội phải có các giấy tờ chứng minh đối tượng và điều kiện theo quy định.</w:t>
      </w:r>
    </w:p>
    <w:p w:rsidR="000D1077" w:rsidRDefault="00160843">
      <w:pPr>
        <w:spacing w:after="0" w:line="276" w:lineRule="auto"/>
        <w:jc w:val="both"/>
      </w:pPr>
      <w:r>
        <w:rPr>
          <w:rFonts w:ascii="Times New Roman" w:eastAsia="Times New Roman" w:hAnsi="Times New Roman" w:cs="Times New Roman"/>
          <w:b/>
          <w:sz w:val="26"/>
        </w:rPr>
        <w:t>Từ khóa:</w:t>
      </w:r>
      <w:r>
        <w:rPr>
          <w:rFonts w:ascii="Times New Roman" w:eastAsia="Times New Roman" w:hAnsi="Times New Roman" w:cs="Times New Roman"/>
          <w:b/>
          <w:sz w:val="26"/>
        </w:rPr>
        <w:t xml:space="preserve"> </w:t>
      </w:r>
      <w:r>
        <w:rPr>
          <w:rFonts w:ascii="Times New Roman" w:eastAsia="Times New Roman" w:hAnsi="Times New Roman" w:cs="Times New Roman"/>
          <w:sz w:val="26"/>
        </w:rPr>
        <w:t>Không có thông tin</w:t>
      </w:r>
    </w:p>
    <w:p w:rsidR="000D1077" w:rsidRDefault="00160843">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0D1077">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0D1077"/>
    <w:rsid w:val="000D1077"/>
    <w:rsid w:val="0016084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408E37-1AF9-41D1-AC38-22FAD6E36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805</Words>
  <Characters>4592</Characters>
  <Application>Microsoft Office Word</Application>
  <DocSecurity>0</DocSecurity>
  <Lines>38</Lines>
  <Paragraphs>10</Paragraphs>
  <ScaleCrop>false</ScaleCrop>
  <Company>Microsoft</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